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1"/>
          <w:i w:val="0"/>
          <w:smallCaps w:val="0"/>
          <w:strike w:val="0"/>
          <w:color w:val="000000"/>
          <w:sz w:val="32"/>
          <w:szCs w:val="32"/>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32"/>
          <w:szCs w:val="32"/>
          <w:u w:val="none"/>
          <w:shd w:fill="auto" w:val="clear"/>
          <w:vertAlign w:val="baseline"/>
          <w:rtl w:val="0"/>
        </w:rPr>
        <w:t xml:space="preserve">COPY EDITOR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rtl w:val="0"/>
        </w:rPr>
        <w:t xml:space="preserve">Fall</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Math" w:cs="Cambria Math" w:eastAsia="Cambria Math" w:hAnsi="Cambria Math"/>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The Wire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strives to produce professional, high-quality content for our readers each week. Yet as with any publication, spelling and grammar errors, typos and other glitches are bound to pop up, that’s where our eagle-eyed copy editors swoop in to save the day. Copy editors ensure the correct usage of Associated Press (AP) style throughout the paper, scour articles for clarity and readability, and are not afraid to make corrections others miss.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ideal candidates will be strong writers able to spot a run-on sentence, improper apostrophe or Oxford comma a mile away. Familiarity with AP style and Adobe InDesign is recommended but not required.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Note: just for fun, the above paragraph contains five common copy-editing mistakes. Find and highlight each one and note the problem.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Send completed applications to </w:t>
      </w:r>
      <w:hyperlink r:id="rId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wire@whitman.edu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rtl w:val="0"/>
        </w:rPr>
        <w:t xml:space="preserve">September 2nd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Applications are accepted on a rolling basis.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Name: </w:t>
        <w:tab/>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Graduating year: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Phone number (cell preferred):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(These questions are for payroll purposes only and will not affect your 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WID: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In-state:</w:t>
        <w:tab/>
        <w:t xml:space="preserve">yes</w:t>
        <w:tab/>
        <w:t xml:space="preserve">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Work-study</w:t>
        <w:tab/>
        <w:t xml:space="preserve">yes</w:t>
        <w:tab/>
        <w:t xml:space="preserve">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describe in detail any prior editing or writing experience. Have you previously worked on a newspaper or similar publication? In what capacity?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are you interested in the copy editor position? What would make you a good choice for copy editor?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familiar with AP style?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any experience using Adobe InDesign?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other activities will you be involved in for the fall ’15 semester? How much of a weekly time commitment would you be willing to make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w:t>
      </w:r>
      <w:r w:rsidDel="00000000" w:rsidR="00000000" w:rsidRPr="00000000">
        <w:rPr>
          <w:b w:val="1"/>
          <w:i w:val="1"/>
          <w:rtl w:val="0"/>
        </w:rPr>
        <w:t xml:space="preserve">Wire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mbria Math" w:cs="Cambria Math" w:eastAsia="Cambria Math" w:hAnsi="Cambria Math"/>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Please attach a one to two-page sample of journalistic or academic writing.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